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DB" w:rsidRPr="003F2382" w:rsidRDefault="00F34BDB" w:rsidP="00F34BDB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6"/>
          <w:szCs w:val="26"/>
          <w:lang w:eastAsia="en-US"/>
        </w:rPr>
      </w:pPr>
      <w:r w:rsidRPr="003F2382">
        <w:rPr>
          <w:rFonts w:eastAsia="Calibri"/>
          <w:b/>
          <w:sz w:val="26"/>
          <w:szCs w:val="26"/>
          <w:lang w:eastAsia="en-US"/>
        </w:rPr>
        <w:t xml:space="preserve">Информация о результатах проверки </w:t>
      </w:r>
    </w:p>
    <w:p w:rsidR="00F34BDB" w:rsidRPr="003F2382" w:rsidRDefault="00F34BDB" w:rsidP="00F34BDB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6"/>
          <w:szCs w:val="26"/>
          <w:lang w:eastAsia="en-US"/>
        </w:rPr>
      </w:pPr>
      <w:r w:rsidRPr="003F2382">
        <w:rPr>
          <w:rFonts w:eastAsia="Calibri"/>
          <w:b/>
          <w:sz w:val="26"/>
          <w:szCs w:val="26"/>
          <w:lang w:eastAsia="en-US"/>
        </w:rPr>
        <w:t xml:space="preserve">«МУК ТКМ», проведённой контрольно-ревизионной службой управления финансов администрации Тоншаевского муниципального округа Нижегородской области </w:t>
      </w:r>
    </w:p>
    <w:tbl>
      <w:tblPr>
        <w:tblStyle w:val="3"/>
        <w:tblW w:w="0" w:type="auto"/>
        <w:tblInd w:w="279" w:type="dxa"/>
        <w:tblLook w:val="04A0" w:firstRow="1" w:lastRow="0" w:firstColumn="1" w:lastColumn="0" w:noHBand="0" w:noVBand="1"/>
      </w:tblPr>
      <w:tblGrid>
        <w:gridCol w:w="2634"/>
        <w:gridCol w:w="6432"/>
      </w:tblGrid>
      <w:tr w:rsidR="00F34BDB" w:rsidRPr="003F2382" w:rsidTr="00B243F8">
        <w:tc>
          <w:tcPr>
            <w:tcW w:w="10206" w:type="dxa"/>
            <w:gridSpan w:val="2"/>
          </w:tcPr>
          <w:p w:rsidR="00F34BDB" w:rsidRPr="003F2382" w:rsidRDefault="00F34BDB" w:rsidP="00B243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6"/>
                <w:szCs w:val="26"/>
              </w:rPr>
            </w:pPr>
            <w:r w:rsidRPr="003F2382">
              <w:rPr>
                <w:rFonts w:eastAsia="Calibri"/>
                <w:sz w:val="26"/>
                <w:szCs w:val="26"/>
              </w:rPr>
              <w:t>Информация о результатах проверки</w:t>
            </w:r>
          </w:p>
        </w:tc>
      </w:tr>
      <w:tr w:rsidR="00F34BDB" w:rsidRPr="003F2382" w:rsidTr="00B243F8">
        <w:tc>
          <w:tcPr>
            <w:tcW w:w="2693" w:type="dxa"/>
          </w:tcPr>
          <w:p w:rsidR="00F34BDB" w:rsidRPr="003F2382" w:rsidRDefault="00F34BDB" w:rsidP="00B243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6"/>
                <w:szCs w:val="26"/>
              </w:rPr>
            </w:pPr>
            <w:r w:rsidRPr="003F2382">
              <w:rPr>
                <w:rFonts w:eastAsia="Calibri"/>
                <w:sz w:val="26"/>
                <w:szCs w:val="26"/>
              </w:rPr>
              <w:t>Объект контроля</w:t>
            </w:r>
          </w:p>
        </w:tc>
        <w:tc>
          <w:tcPr>
            <w:tcW w:w="7513" w:type="dxa"/>
          </w:tcPr>
          <w:p w:rsidR="00F34BDB" w:rsidRPr="003F2382" w:rsidRDefault="00F34BDB" w:rsidP="00B243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6"/>
                <w:szCs w:val="26"/>
              </w:rPr>
            </w:pPr>
            <w:r w:rsidRPr="003F2382">
              <w:rPr>
                <w:rFonts w:eastAsia="Calibri"/>
                <w:sz w:val="26"/>
                <w:szCs w:val="26"/>
              </w:rPr>
              <w:t>«МУК ТКМ»</w:t>
            </w:r>
          </w:p>
        </w:tc>
      </w:tr>
      <w:tr w:rsidR="00F34BDB" w:rsidRPr="003F2382" w:rsidTr="00B243F8">
        <w:tc>
          <w:tcPr>
            <w:tcW w:w="2693" w:type="dxa"/>
          </w:tcPr>
          <w:p w:rsidR="00F34BDB" w:rsidRPr="003F2382" w:rsidRDefault="00F34BDB" w:rsidP="00B243F8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6"/>
                <w:szCs w:val="26"/>
              </w:rPr>
            </w:pPr>
            <w:r w:rsidRPr="003F2382">
              <w:rPr>
                <w:rFonts w:eastAsia="Calibri"/>
                <w:sz w:val="26"/>
                <w:szCs w:val="26"/>
              </w:rPr>
              <w:t>Наименование контрольного мероприятия</w:t>
            </w:r>
          </w:p>
        </w:tc>
        <w:tc>
          <w:tcPr>
            <w:tcW w:w="7513" w:type="dxa"/>
          </w:tcPr>
          <w:p w:rsidR="00F34BDB" w:rsidRPr="003F2382" w:rsidRDefault="00F34BDB" w:rsidP="00B243F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 w:rsidRPr="003F2382">
              <w:rPr>
                <w:rFonts w:eastAsia="Calibri"/>
                <w:sz w:val="26"/>
                <w:szCs w:val="26"/>
              </w:rPr>
              <w:t>Проверка соблюдения бюджетного законодательства и иных нормативных правовых актов, регулирующих бюджетные правоотношении (проверка финансово-хозяйственной деятельности)</w:t>
            </w:r>
          </w:p>
        </w:tc>
      </w:tr>
      <w:tr w:rsidR="00F34BDB" w:rsidRPr="003F2382" w:rsidTr="00B243F8">
        <w:tc>
          <w:tcPr>
            <w:tcW w:w="2693" w:type="dxa"/>
          </w:tcPr>
          <w:p w:rsidR="00F34BDB" w:rsidRPr="003F2382" w:rsidRDefault="00F34BDB" w:rsidP="00B243F8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6"/>
                <w:szCs w:val="26"/>
              </w:rPr>
            </w:pPr>
            <w:r w:rsidRPr="003F2382">
              <w:rPr>
                <w:rFonts w:eastAsia="Calibri"/>
                <w:sz w:val="26"/>
                <w:szCs w:val="26"/>
              </w:rPr>
              <w:t>Основание для проведения контрольного мероприятия</w:t>
            </w:r>
          </w:p>
        </w:tc>
        <w:tc>
          <w:tcPr>
            <w:tcW w:w="7513" w:type="dxa"/>
          </w:tcPr>
          <w:p w:rsidR="00F34BDB" w:rsidRPr="003F2382" w:rsidRDefault="00F34BDB" w:rsidP="00B243F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 w:rsidRPr="003F2382">
              <w:rPr>
                <w:rFonts w:eastAsia="Calibri"/>
                <w:sz w:val="26"/>
                <w:szCs w:val="26"/>
              </w:rPr>
              <w:t>План контрольных мероприятий на 2024год контрольно-ревизионной  службы администрации  Тоншаевского муниципального округа Нижегородской области</w:t>
            </w:r>
          </w:p>
        </w:tc>
      </w:tr>
      <w:tr w:rsidR="00F34BDB" w:rsidRPr="003F2382" w:rsidTr="00B243F8">
        <w:tc>
          <w:tcPr>
            <w:tcW w:w="2693" w:type="dxa"/>
          </w:tcPr>
          <w:p w:rsidR="00F34BDB" w:rsidRPr="003F2382" w:rsidRDefault="00F34BDB" w:rsidP="00B243F8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6"/>
                <w:szCs w:val="26"/>
              </w:rPr>
            </w:pPr>
            <w:r w:rsidRPr="003F2382">
              <w:rPr>
                <w:rFonts w:eastAsia="Calibri"/>
                <w:sz w:val="26"/>
                <w:szCs w:val="26"/>
              </w:rPr>
              <w:t>Сроки проведения контрольного мероприятия</w:t>
            </w:r>
          </w:p>
        </w:tc>
        <w:tc>
          <w:tcPr>
            <w:tcW w:w="7513" w:type="dxa"/>
          </w:tcPr>
          <w:p w:rsidR="00F34BDB" w:rsidRPr="003F2382" w:rsidRDefault="00F34BDB" w:rsidP="00B243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6"/>
                <w:szCs w:val="26"/>
              </w:rPr>
            </w:pPr>
            <w:r w:rsidRPr="003F2382">
              <w:rPr>
                <w:rFonts w:eastAsia="Calibri"/>
                <w:sz w:val="26"/>
                <w:szCs w:val="26"/>
              </w:rPr>
              <w:t>27.11.2024 г. по 27.12.2024г.</w:t>
            </w:r>
          </w:p>
        </w:tc>
      </w:tr>
      <w:tr w:rsidR="00F34BDB" w:rsidRPr="003F2382" w:rsidTr="00B243F8">
        <w:tc>
          <w:tcPr>
            <w:tcW w:w="2693" w:type="dxa"/>
          </w:tcPr>
          <w:p w:rsidR="00F34BDB" w:rsidRPr="003F2382" w:rsidRDefault="00F34BDB" w:rsidP="00B243F8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6"/>
                <w:szCs w:val="26"/>
              </w:rPr>
            </w:pPr>
            <w:r w:rsidRPr="003F2382">
              <w:rPr>
                <w:rFonts w:eastAsia="Calibri"/>
                <w:sz w:val="26"/>
                <w:szCs w:val="26"/>
              </w:rPr>
              <w:t>Проверенный период</w:t>
            </w:r>
          </w:p>
        </w:tc>
        <w:tc>
          <w:tcPr>
            <w:tcW w:w="7513" w:type="dxa"/>
          </w:tcPr>
          <w:p w:rsidR="00F34BDB" w:rsidRPr="003F2382" w:rsidRDefault="00F34BDB" w:rsidP="00B243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6"/>
                <w:szCs w:val="26"/>
              </w:rPr>
            </w:pPr>
            <w:r w:rsidRPr="003F2382">
              <w:rPr>
                <w:rFonts w:eastAsia="Calibri"/>
                <w:sz w:val="26"/>
                <w:szCs w:val="26"/>
              </w:rPr>
              <w:t>01.01.2021г. по 31.12.2023г.</w:t>
            </w:r>
          </w:p>
        </w:tc>
      </w:tr>
      <w:tr w:rsidR="00F34BDB" w:rsidRPr="003F2382" w:rsidTr="00B243F8">
        <w:tc>
          <w:tcPr>
            <w:tcW w:w="2693" w:type="dxa"/>
          </w:tcPr>
          <w:p w:rsidR="00F34BDB" w:rsidRPr="003F2382" w:rsidRDefault="00F34BDB" w:rsidP="00B243F8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6"/>
                <w:szCs w:val="26"/>
              </w:rPr>
            </w:pPr>
            <w:r w:rsidRPr="003F2382">
              <w:rPr>
                <w:rFonts w:eastAsia="Calibri"/>
                <w:sz w:val="26"/>
                <w:szCs w:val="26"/>
              </w:rPr>
              <w:t>Выявленные нарушения</w:t>
            </w:r>
          </w:p>
        </w:tc>
        <w:tc>
          <w:tcPr>
            <w:tcW w:w="7513" w:type="dxa"/>
          </w:tcPr>
          <w:p w:rsidR="00F34BDB" w:rsidRPr="003F2382" w:rsidRDefault="00F34BDB" w:rsidP="00F34BDB">
            <w:pPr>
              <w:pStyle w:val="a4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3" w:firstLine="0"/>
              <w:contextualSpacing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 w:rsidRPr="003F2382">
              <w:rPr>
                <w:rFonts w:eastAsia="Calibri"/>
                <w:sz w:val="26"/>
                <w:szCs w:val="26"/>
              </w:rPr>
              <w:t>В нарушение п.1 ст.6 Федерального закона от 06.12.2011 № 402 «О бухгалтерском учете» Экономический субъект обязан вести бухгалтерский учет в соответствии с настоящим Федеральным законом.</w:t>
            </w:r>
          </w:p>
          <w:p w:rsidR="00F34BDB" w:rsidRPr="003F2382" w:rsidRDefault="00F34BDB" w:rsidP="00F34BDB">
            <w:pPr>
              <w:pStyle w:val="a4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3" w:hanging="3"/>
              <w:contextualSpacing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 w:rsidRPr="003F2382">
              <w:rPr>
                <w:rFonts w:eastAsia="Calibri"/>
                <w:sz w:val="26"/>
                <w:szCs w:val="26"/>
              </w:rPr>
              <w:t>В нарушение п.3 приказа Минфина России от 30.03.2015 N 52н</w:t>
            </w:r>
            <w:r w:rsidRPr="003F2382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3F2382">
              <w:rPr>
                <w:rFonts w:eastAsia="Calibri"/>
                <w:sz w:val="26"/>
                <w:szCs w:val="26"/>
              </w:rPr>
      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в инвентарных карточках учета основных средств (ф. 0509215).</w:t>
            </w:r>
          </w:p>
        </w:tc>
      </w:tr>
      <w:tr w:rsidR="00F34BDB" w:rsidRPr="003F2382" w:rsidTr="00B243F8">
        <w:tc>
          <w:tcPr>
            <w:tcW w:w="2693" w:type="dxa"/>
          </w:tcPr>
          <w:p w:rsidR="00F34BDB" w:rsidRPr="003F2382" w:rsidRDefault="00F34BDB" w:rsidP="00B243F8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6"/>
                <w:szCs w:val="26"/>
              </w:rPr>
            </w:pPr>
            <w:r w:rsidRPr="003F2382">
              <w:rPr>
                <w:rFonts w:eastAsia="Calibri"/>
                <w:sz w:val="26"/>
                <w:szCs w:val="26"/>
              </w:rPr>
              <w:t>АКТ /Вынесено представление/срок рассмотрения</w:t>
            </w:r>
          </w:p>
        </w:tc>
        <w:tc>
          <w:tcPr>
            <w:tcW w:w="7513" w:type="dxa"/>
          </w:tcPr>
          <w:p w:rsidR="00F34BDB" w:rsidRPr="003F2382" w:rsidRDefault="00F34BDB" w:rsidP="00B243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6"/>
                <w:szCs w:val="26"/>
              </w:rPr>
            </w:pPr>
            <w:r w:rsidRPr="003F2382">
              <w:rPr>
                <w:rFonts w:eastAsia="Calibri"/>
                <w:sz w:val="26"/>
                <w:szCs w:val="26"/>
              </w:rPr>
              <w:t>Отчет о результатах контрольного мероприятия б/н от 27.12 2024 года (Акт   б/н от27.12. 2024г.)</w:t>
            </w:r>
          </w:p>
          <w:p w:rsidR="00F34BDB" w:rsidRPr="003F2382" w:rsidRDefault="00F34BDB" w:rsidP="00B243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6"/>
                <w:szCs w:val="26"/>
              </w:rPr>
            </w:pPr>
          </w:p>
        </w:tc>
      </w:tr>
      <w:tr w:rsidR="00F34BDB" w:rsidRPr="003F2382" w:rsidTr="00B243F8">
        <w:tc>
          <w:tcPr>
            <w:tcW w:w="2693" w:type="dxa"/>
          </w:tcPr>
          <w:p w:rsidR="00F34BDB" w:rsidRPr="003F2382" w:rsidRDefault="00F34BDB" w:rsidP="00B243F8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6"/>
                <w:szCs w:val="26"/>
              </w:rPr>
            </w:pPr>
            <w:r w:rsidRPr="003F2382">
              <w:rPr>
                <w:rFonts w:eastAsia="Calibri"/>
                <w:sz w:val="26"/>
                <w:szCs w:val="26"/>
              </w:rPr>
              <w:t>Вынесено предписание /срок исполнения</w:t>
            </w:r>
          </w:p>
        </w:tc>
        <w:tc>
          <w:tcPr>
            <w:tcW w:w="7513" w:type="dxa"/>
          </w:tcPr>
          <w:p w:rsidR="00F34BDB" w:rsidRDefault="00F34BDB" w:rsidP="00B243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Предписание </w:t>
            </w:r>
          </w:p>
          <w:p w:rsidR="00F34BDB" w:rsidRPr="003F2382" w:rsidRDefault="00F34BDB" w:rsidP="00B243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нет</w:t>
            </w:r>
          </w:p>
        </w:tc>
      </w:tr>
      <w:tr w:rsidR="00F34BDB" w:rsidRPr="003F2382" w:rsidTr="00B243F8">
        <w:tc>
          <w:tcPr>
            <w:tcW w:w="2693" w:type="dxa"/>
          </w:tcPr>
          <w:p w:rsidR="00F34BDB" w:rsidRPr="003F2382" w:rsidRDefault="00F34BDB" w:rsidP="00B243F8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6"/>
                <w:szCs w:val="26"/>
              </w:rPr>
            </w:pPr>
            <w:r w:rsidRPr="003F2382">
              <w:rPr>
                <w:rFonts w:eastAsia="Calibri"/>
                <w:sz w:val="26"/>
                <w:szCs w:val="26"/>
              </w:rPr>
              <w:t>Принятые решения и меры по устранению нарушений</w:t>
            </w:r>
          </w:p>
        </w:tc>
        <w:tc>
          <w:tcPr>
            <w:tcW w:w="7513" w:type="dxa"/>
          </w:tcPr>
          <w:p w:rsidR="00F34BDB" w:rsidRPr="003F2382" w:rsidRDefault="00F34BDB" w:rsidP="00B243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нет</w:t>
            </w:r>
            <w:bookmarkStart w:id="0" w:name="_GoBack"/>
            <w:bookmarkEnd w:id="0"/>
          </w:p>
        </w:tc>
      </w:tr>
    </w:tbl>
    <w:p w:rsidR="00F34BDB" w:rsidRPr="009E2AC7" w:rsidRDefault="00F34BDB" w:rsidP="00F34BDB">
      <w:pPr>
        <w:spacing w:line="360" w:lineRule="auto"/>
        <w:jc w:val="center"/>
        <w:rPr>
          <w:sz w:val="28"/>
          <w:szCs w:val="28"/>
        </w:rPr>
      </w:pPr>
    </w:p>
    <w:p w:rsidR="00F34BDB" w:rsidRDefault="00F34BDB" w:rsidP="00F34BDB">
      <w:pPr>
        <w:spacing w:line="360" w:lineRule="auto"/>
        <w:rPr>
          <w:sz w:val="28"/>
          <w:szCs w:val="28"/>
        </w:rPr>
      </w:pPr>
    </w:p>
    <w:p w:rsidR="00F535FD" w:rsidRDefault="00F535FD"/>
    <w:sectPr w:rsidR="00F53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21196"/>
    <w:multiLevelType w:val="hybridMultilevel"/>
    <w:tmpl w:val="98B6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D0E99"/>
    <w:multiLevelType w:val="hybridMultilevel"/>
    <w:tmpl w:val="D0084C8A"/>
    <w:lvl w:ilvl="0" w:tplc="D1F66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DB"/>
    <w:rsid w:val="00F34BDB"/>
    <w:rsid w:val="00F5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A3DF"/>
  <w15:chartTrackingRefBased/>
  <w15:docId w15:val="{342B72CD-A213-4A9E-8D49-30D33424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B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34B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3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34BDB"/>
    <w:pPr>
      <w:ind w:left="720"/>
    </w:pPr>
  </w:style>
  <w:style w:type="table" w:customStyle="1" w:styleId="3">
    <w:name w:val="Сетка таблицы3"/>
    <w:basedOn w:val="a1"/>
    <w:next w:val="a3"/>
    <w:uiPriority w:val="59"/>
    <w:rsid w:val="00F34B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2025-02-10T12:09:00Z</dcterms:created>
  <dcterms:modified xsi:type="dcterms:W3CDTF">2025-02-10T12:11:00Z</dcterms:modified>
</cp:coreProperties>
</file>