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E96A92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октября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2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 w:rsidR="00F619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4E99" w:rsidRPr="002C01F1" w:rsidRDefault="00C14E99" w:rsidP="00C14E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приказ №84-о от 2</w:t>
      </w:r>
      <w:r w:rsidR="00BE6D19"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декабря 2021 года об использовании кодов бюджетной классификации расходов бюджета Тоншаевского муниципального округа на 2022 год и на плановый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период </w:t>
      </w: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>2023 и 2024 год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</w:p>
    <w:p w:rsidR="00C14E99" w:rsidRPr="002B5640" w:rsidRDefault="00C14E99" w:rsidP="00C14E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4E99" w:rsidRPr="002B5640" w:rsidRDefault="00C14E99" w:rsidP="00290C8C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DE3">
        <w:rPr>
          <w:rFonts w:ascii="Times New Roman" w:hAnsi="Times New Roman" w:cs="Times New Roman"/>
          <w:sz w:val="28"/>
          <w:szCs w:val="24"/>
        </w:rPr>
        <w:t>В соответствии с</w:t>
      </w:r>
      <w:r>
        <w:rPr>
          <w:rFonts w:ascii="Times New Roman" w:hAnsi="Times New Roman" w:cs="Times New Roman"/>
          <w:sz w:val="28"/>
          <w:szCs w:val="24"/>
        </w:rPr>
        <w:t xml:space="preserve"> внесенными изменениями в решении совета депутатов Тоншаевского муниципального округа от 16 декабря 2021 года №194 «О бюджете Тоншаевского муниципального округа на 2022 год и на плановый период 2023 и 2024 годов» </w:t>
      </w:r>
      <w:r w:rsidRPr="002C01F1">
        <w:rPr>
          <w:rFonts w:ascii="Times New Roman" w:hAnsi="Times New Roman" w:cs="Times New Roman"/>
          <w:b/>
          <w:sz w:val="28"/>
          <w:szCs w:val="24"/>
        </w:rPr>
        <w:t>п</w:t>
      </w:r>
      <w:r w:rsidRPr="002C01F1">
        <w:rPr>
          <w:rFonts w:ascii="Times New Roman" w:hAnsi="Times New Roman" w:cs="Times New Roman"/>
          <w:b/>
          <w:sz w:val="28"/>
          <w:szCs w:val="28"/>
        </w:rPr>
        <w:t xml:space="preserve"> р и </w:t>
      </w:r>
      <w:proofErr w:type="gramStart"/>
      <w:r w:rsidRPr="002C01F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2C01F1">
        <w:rPr>
          <w:rFonts w:ascii="Times New Roman" w:hAnsi="Times New Roman" w:cs="Times New Roman"/>
          <w:b/>
          <w:sz w:val="28"/>
          <w:szCs w:val="28"/>
        </w:rPr>
        <w:t xml:space="preserve"> а з ы в а ю</w:t>
      </w:r>
      <w:r w:rsidRPr="00253FF1">
        <w:rPr>
          <w:rFonts w:ascii="Times New Roman" w:hAnsi="Times New Roman" w:cs="Times New Roman"/>
          <w:sz w:val="28"/>
          <w:szCs w:val="28"/>
        </w:rPr>
        <w:t>:</w:t>
      </w:r>
    </w:p>
    <w:p w:rsidR="00C14E99" w:rsidRPr="005F57FE" w:rsidRDefault="00C14E99" w:rsidP="00290C8C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F57FE">
        <w:rPr>
          <w:rFonts w:ascii="Times New Roman" w:eastAsia="Times New Roman" w:hAnsi="Times New Roman"/>
          <w:sz w:val="28"/>
          <w:szCs w:val="28"/>
          <w:lang w:eastAsia="ru-RU"/>
        </w:rPr>
        <w:t xml:space="preserve">оды бюджетной классификации расходов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Тоншаевского муниципального округа</w:t>
      </w:r>
      <w:r w:rsidRPr="005F57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 2022 год и плановый период 2023</w:t>
      </w:r>
      <w:r w:rsidRPr="005F57FE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5F57F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годов изложить в новой редакции согласно приложения1</w:t>
      </w:r>
      <w:r w:rsidRPr="005F57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4E99" w:rsidRDefault="00C14E99" w:rsidP="00290C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B5640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0915EC" w:rsidRDefault="000915EC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3F85" w:rsidRDefault="00343F85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90C8C" w:rsidRDefault="00290C8C" w:rsidP="00290C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290C8C" w:rsidRDefault="00290C8C" w:rsidP="00290C8C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и анализа расходов бюджета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С.Б.Ускова</w:t>
      </w:r>
      <w:proofErr w:type="spellEnd"/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14E99" w:rsidRDefault="00C14E99" w:rsidP="007A2E58">
      <w:pPr>
        <w:pStyle w:val="a6"/>
        <w:spacing w:before="0" w:beforeAutospacing="0" w:after="0" w:afterAutospacing="0"/>
        <w:jc w:val="both"/>
        <w:rPr>
          <w:sz w:val="28"/>
          <w:szCs w:val="28"/>
        </w:rPr>
        <w:sectPr w:rsidR="00C14E99" w:rsidSect="007A2E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90C8C" w:rsidRPr="00397CB6" w:rsidRDefault="00290C8C" w:rsidP="00290C8C">
      <w:pPr>
        <w:widowControl w:val="0"/>
        <w:autoSpaceDE w:val="0"/>
        <w:autoSpaceDN w:val="0"/>
        <w:adjustRightInd w:val="0"/>
        <w:spacing w:after="120"/>
        <w:ind w:left="10206" w:right="-456"/>
        <w:jc w:val="center"/>
        <w:outlineLvl w:val="0"/>
        <w:rPr>
          <w:rFonts w:ascii="Times New Roman" w:hAnsi="Times New Roman"/>
        </w:rPr>
      </w:pPr>
      <w:r w:rsidRPr="00397CB6">
        <w:rPr>
          <w:rFonts w:ascii="Times New Roman" w:hAnsi="Times New Roman"/>
        </w:rPr>
        <w:lastRenderedPageBreak/>
        <w:t>ПРИЛОЖЕНИЕ 1</w:t>
      </w:r>
    </w:p>
    <w:p w:rsidR="00290C8C" w:rsidRPr="00397CB6" w:rsidRDefault="00290C8C" w:rsidP="00290C8C">
      <w:pPr>
        <w:widowControl w:val="0"/>
        <w:autoSpaceDE w:val="0"/>
        <w:autoSpaceDN w:val="0"/>
        <w:adjustRightInd w:val="0"/>
        <w:ind w:left="10206" w:right="-456"/>
        <w:jc w:val="center"/>
        <w:outlineLvl w:val="0"/>
        <w:rPr>
          <w:rFonts w:ascii="Times New Roman" w:hAnsi="Times New Roman"/>
        </w:rPr>
      </w:pPr>
      <w:r w:rsidRPr="00397CB6">
        <w:rPr>
          <w:rFonts w:ascii="Times New Roman" w:hAnsi="Times New Roman"/>
        </w:rPr>
        <w:t xml:space="preserve">Утверждено приказом </w:t>
      </w:r>
      <w:r>
        <w:rPr>
          <w:rFonts w:ascii="Times New Roman" w:hAnsi="Times New Roman"/>
        </w:rPr>
        <w:t>у</w:t>
      </w:r>
      <w:r w:rsidRPr="00397CB6">
        <w:rPr>
          <w:rFonts w:ascii="Times New Roman" w:hAnsi="Times New Roman"/>
        </w:rPr>
        <w:t>правления финансов администрации Тоншаевского</w:t>
      </w:r>
      <w:r>
        <w:rPr>
          <w:rFonts w:ascii="Times New Roman" w:hAnsi="Times New Roman"/>
        </w:rPr>
        <w:t xml:space="preserve"> муниципального округа</w:t>
      </w:r>
      <w:r w:rsidRPr="00397CB6">
        <w:rPr>
          <w:rFonts w:ascii="Times New Roman" w:hAnsi="Times New Roman"/>
        </w:rPr>
        <w:t xml:space="preserve"> Нижегородской области от </w:t>
      </w:r>
      <w:r>
        <w:rPr>
          <w:rFonts w:ascii="Times New Roman" w:hAnsi="Times New Roman"/>
        </w:rPr>
        <w:t>17 октября</w:t>
      </w:r>
      <w:r w:rsidRPr="00397CB6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397CB6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-о</w:t>
      </w:r>
    </w:p>
    <w:p w:rsidR="00C14E99" w:rsidRDefault="00C14E99" w:rsidP="00C14E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4F4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Бюджетная классификация расходов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2022 </w:t>
      </w:r>
      <w:r w:rsidRPr="00254E52">
        <w:rPr>
          <w:rFonts w:ascii="Times New Roman" w:eastAsia="Times New Roman" w:hAnsi="Times New Roman"/>
          <w:sz w:val="28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плановый 2023 и 2024 годы</w:t>
      </w:r>
    </w:p>
    <w:p w:rsidR="00E96A92" w:rsidRDefault="00E96A92" w:rsidP="00C14E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683"/>
        <w:gridCol w:w="1061"/>
        <w:gridCol w:w="3638"/>
        <w:gridCol w:w="709"/>
        <w:gridCol w:w="792"/>
        <w:gridCol w:w="709"/>
        <w:gridCol w:w="851"/>
        <w:gridCol w:w="1786"/>
        <w:gridCol w:w="823"/>
        <w:gridCol w:w="1701"/>
        <w:gridCol w:w="709"/>
        <w:gridCol w:w="1769"/>
      </w:tblGrid>
      <w:tr w:rsidR="00E96A92" w:rsidRPr="00290C8C" w:rsidTr="00290C8C">
        <w:trPr>
          <w:trHeight w:val="20"/>
        </w:trPr>
        <w:tc>
          <w:tcPr>
            <w:tcW w:w="1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Доп. ФК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Доп. ФК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Доп. ЭК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Доп. 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Доп. КР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Доп. КР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6600526000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противокоррупционным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1610129850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единовр.пособ</w:t>
            </w:r>
            <w:proofErr w:type="spellEnd"/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6600526000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противокоррупционным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6600351200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6600351200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6600351200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0630126000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выплаты по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0510129020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имущества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0510129020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имущества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0610125130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Сопровождение программы АЦК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1610129850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</w:t>
            </w: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электроэнергию и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выплаты по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660С100590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инфекции.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0410125110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Мероприятия, направленные на проведение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противо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-паводковых и противопожарных мероприятий (резервный фонд).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организации обучения, повышения квалификации должностных лиц в области ГО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организации обучения, повышения квалификации должностных лиц в области ГО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организации обучения, повышения квалификации должностных лиц в области ГО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пожарным водоемам и пирсам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пожарным водоемам и пирсам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0420172650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Субсидия на реализацию полномочий органов местного самоуправления по решению вопросов местного значения (строительство и ПСД пожарного депо для муниципальной пожарной охраны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п.Шайгино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04201S2650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субсидии на реализацию полномочий органов местного самоуправления по решению вопросов местного значения (строительство и ПСД пожарного депо для муниципальной пожарной охраны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п.Шайгино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)за счет средств бюджета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0310125800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0310125800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03101R3580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возмещение производителям зерновых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культурчасти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затрат на производство и реализацию зерновых культур за счет областного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03101R3580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возмещение производителям зерновых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культурчасти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затрат на производство и реализацию зерновых культур за счет федерального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03101R3580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возмещение производителям зерновых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культурчасти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затрат на производство и реализацию зерновых культур за счет областного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03101R3580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возмещение производителям зерновых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культурчасти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затрат на производство и реализацию зерновых культур за счет федерального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03101R3680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возмещение производителям зерновых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культурчасти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затрат на производство и реализацию зерновых культур за счет федерального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03101R3680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возмещение производителям зерновых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культурчасти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затрат на производство и реализацию зерновых культур за счет федерального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Субвенции на оказание несвязанной поддержки сельскохозяйственным товаропроизводителям в </w:t>
            </w: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области растениеводства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возмещение части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затрат,связанных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</w:t>
            </w: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производством, на собственную переработку сельскохозяйственных культур по ставке на 1 гектар за счет средств областного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возмещение части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затрат,связанных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производством, на собственную переработку сельскохозяйственных культур по ставке на 1 гектар за счет средств областного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возмещение части затрат на поддержку элитного семеноводства за счет средств областного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областного бюджета на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расходов с федеральным бюджетом на возмещение части затрат на поддержку элитного семеноводства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возмещение части затрат на поддержку элитного семеноводства за счет средств федерального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возмещение части затрат на поддержку элитного семеноводства за счет средств областного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областного бюджета на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расходов с федеральным бюджетом на возмещение части </w:t>
            </w: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затрат на поддержку элитного семеноводства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возмещение части затрат на поддержку элитного семеноводства за счет средств федерального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0310225800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0310225800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03102R5020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Субвенция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возмещение части затрат, связанных с производством, реализацией и (или) отгрузкой на собственную переработку молока по ставке на 1 голову за счет средств областного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03102R5020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Субвенция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возмещение части затрат, связанных с производством, реализацией и (или) отгрузкой на собственную переработку молока по ставке на 1 голову за счет средств областного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возмещение части затрат на поддержку племенного животноводства за счет средств областного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возмещение части затрат на поддержку собственного производства молока за счет средств областного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Субвенции на возмещение части затрат сельскохозяйственных товаропроизводителей на </w:t>
            </w: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областного бюджета на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софинансирование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расходов с федеральным бюджетом на возмещение части затрат на поддержку собственного производства молока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возмещение части затрат на поддержку собственного производства молока за счет средств федерального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0310425800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0310425800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0310473220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0310473220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0310525220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в сельском хозяйстве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6600373310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0630174600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на предоставление грантов в целях поощрения муниципальных районов и городских округов нижегородской области, достигающих наилучших результатов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1450520800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1450520800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14505S2610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приобретение автобусов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14505S2610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приобретение автобусов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1450620500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финансовое обеспечение части затрат МУП "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Шахунское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ПАП" на оплату мероприятий по замене блоков СКЗИ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тахографа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2360120500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финансовое обеспечение части затрат МУП "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Шахунское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пассажирское автотранспортное предприятие",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субсидия на реализацию мероприятий по благоустройству сельских территорий (ремонт участка автомобильной дороги общего пользования местного назначения от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ул.Гайдара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подъездом к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дет.саду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№4 "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Родничок"р.п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Шайгино, Тоншаевский район, Нижегородской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1442702030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ул.Больничная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п.Буреполом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спонсоров и населения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14427S2601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ул.Больничная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п.Буреполом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субсидии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14427S2601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ул.Больничная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п.Буреполом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субсидии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1442802030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ул.Гайдара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р.п.Шайгино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спонсоров и населения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14428S2602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ул.Гайдара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р.п.Шайгино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субсидии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14428S2602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ул.Гайдара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р.п.Шайгино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субсидии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1442902030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тротуара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ул.Кирова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р.п.Пижма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спонсоров и населения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1442902030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тротуара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ул.Кирова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р.п.Пижма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спонсоров и населения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14429S2603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тротуара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ул.Кирова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р.п.Пижма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субсидии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14429S2603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тротуара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ул.Кирова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р.п.Пижма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субсидии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1443002030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Частичный ремонт объездной дороги к кладбищу д.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Б.Селки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спонсоров и населения на </w:t>
            </w: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14430S2604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Частичный ремонт объездной дороги к кладбищу д.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Б.Селки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субсидии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14430S2604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Частичный ремонт объездной дороги к кладбищу д.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Б.Селки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субсидии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1443102030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ул.Жданова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р.п.Пижма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спонсоров и населения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14431S2605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ул.Жданова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р.п.Пижма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субсидии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14431S2605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ул.Жданова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р.п.Пижма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субсидии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14432S2606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ул.Заречная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д.Кодочиги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1443302030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ул.Июльская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д.М.Лом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спонсоров и населения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14433S2607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ул.Июльская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д.М.Лом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субсидии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14433S2607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ул.Июльская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д.М.Лом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субсидии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14434S2608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с.Письменер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ул.Больничная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д.Ошминское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спонсоров и населения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14435S2609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ул.Больничная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д.Ошминское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субсидии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14435S2609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ул.Больничная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д.Ошминское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субсидии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1443602030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ул.Майская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р.п.Тоншаево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спонсоров и населения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14436S260A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ул.Майская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р.п.Тоншаево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субсидии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14436S260A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ул.Майская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р.п.Тоншаево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субсидии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1443702030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ул.Запрудная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р.п.Тоншаево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спонсоров и населения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14437S260D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ул.Запрудная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р.п.Тоншаево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субсидии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14437S260D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ул.Запрудная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р.п.Тоншаево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субсидии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1443802030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ул. Октябрьская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р.п.Тоншаево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спонсоров и населения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14438S260F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ул. Октябрьская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р.п.Тоншаево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субсидии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14438S260F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по ул. Октябрьская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р.п.Тоншаево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субсидии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1443972210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Субсидия на ремонт автомобильных дорог общего пользования местного значения за счет акцизов на нефтепродукты (5%) (Ремонт дорожного покрытия по ул. Храмцова в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Тоншаево)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14439S2210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областной субсидии на ремонт автомобильных дорог общего пользования местного значения за счет акцизов на нефтепродукты (5%) (Ремонт дорожного покрытия по ул. Храмцова в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Тоншаево)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14440S2210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областной субсидии на ремонт автомобильных дорог общего пользования местного значения за счет акцизов на нефтепродукты (5%) (Ремонт дорожного покрытия по ул. Новая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Пижма)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1444102030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автомобильной дороги общего пользования местного значения в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с.Ошминское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Школьная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1444202030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автомобильной дороги общего пользования местного значения в д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Кодочиги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Заречная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0510229020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кадастровые работы по межеванию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0821329030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08213S2040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(возмещение)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работ,услуг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), финансовое обеспечение (возмещение)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(или)развития либо модернизации производства товаров (работ, услуг), за счет субсидии на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муниципальных программ поддержки малого и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средненго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предпринимательства и за счет средств округа на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08213S2040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(возмещение)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работ,услуг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), финансовое обеспечение (возмещение)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(или)развития либо модернизации производства товаров (работ, услуг), за счет субсидии на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муниципальных программ поддержки малого и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средненго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предпринимательства и за счет средств округа на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0831300590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субсидии МБУ «Тоншаевский бизнес-инкубатор» на иные цели (создание и обеспечение деятельности Центра поддержки предпринимательства (ЦПП) на базе МБУ «ТБИ»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08412S2100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0841300590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субсидии на обеспечение и выполнение муниципального задания Муниципальному учреждению «Тоншаевский Бизнес-инкубатор» производственного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6600520800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6600520800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6600520800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6600520800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6600520800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6600520800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0340103030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спонсоров и населения по подпрограмме "Комплексное развитие сельских территорий"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03401L5760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помещения,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03401L5760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помещения,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помещения, за счет средств областного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03401L5760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помещения,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помещения, за счет средств </w:t>
            </w: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федерального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субсидия на реализацию мероприятий по благоустройству сельских территорий (ремонт участка автомобильной дороги общего пользования местного назначения от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ул.Гайдара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подъездом к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дет.саду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№4 "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Родничок"р.п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Шайгино, Тоншаевский район, Нижегородской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0940103030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снос расселения многоквартирных жилых домов в муниципальных образованиях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09401S2120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снос расселенных многоквартирных жилых домов в муниципальных образованиях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09401S2120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снос расселенных многоквартирных жилых домов в муниципальных образованиях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09501S2620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09501S2620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обеспечение мероприятий по переселению граждан из аварийного жилищного фонда за счет средств государственной корпорации -Фонда содействия реформирования жилищно-коммунального хозяйства (4 этап)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обеспечение мероприятий по переселению граждан из аварийного жилищного фонда за счет средств государственной корпорации -Фонда содействия реформирования жилищно-коммунального хозяйства (4 этап)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на обеспечение мероприятий по переселению граждан из аварийного жилищного </w:t>
            </w: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фонда за счет средств областного бюджета (4 этап)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 (4 этап)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095F36748S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переселения (4 этап)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095F36748S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переселения (4 этап)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18101S2290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18101S2290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18209S2670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18209S2670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1830974700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1830974700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2020105030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2020205030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юридическим лицам, индивидуальным предпринимателям, физическим лицам- производителям товаров, работ, услуг из бюджета Тоншаевского муниципального округа Нижегородской области в целях возмещения затрат (недополученных доходов), в связи с оказанием услуг бань населению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2020205030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юридическим лицам, индивидуальным предпринимателям, физическим лицам- производителям товаров, работ, услуг из бюджета Тоншаевского муниципального округа Нижегородской области в целях возмещения затрат (недополученных доходов), в связи с оказанием услуг бань населению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2020372650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Субсидия на финансовое обеспечение части затрат теплоснабжающей организации Тоншаевского муниципального округа МУП "Водник" на приобретение водогрейного </w:t>
            </w: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20203S2650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Субсидия на финансовое обеспечение части затрат теплоснабжающей организации Тоншаевского муниципального округа МУП "Водник" на приобретение водогрейного твердотопливного котла для муниципальной котельной за счет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субсидии на реализацию полномочий органов местного самоуправления по решению вопросов местного значения за счет средств бюджета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2020405030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финансовое обеспечение части затрат теплоснабжающей организации Тоншаевского муниципального округа МУП "Водник" на погашение кредиторской задолженности за топливно-энергетические ресурсы за счет средств бюджета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2030305030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Подключение к сетям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6600321000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6600321000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спонсоров и населения по подпрограмме "Комплексное развитие сельских территорий" на мероприятия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субсидия на реализацию мероприятий по благоустройству сельских территорий (ремонт участка автомобильной дороги общего пользования местного назначения от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ул.Гайдара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подъездом к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дет.саду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№4 "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Родничок"р.п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Шайгино, Тоншаевский район, Нижегородской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субсидия на реализацию мероприятий по благоустройству сельских территорий (ремонт участка автомобильной дороги общего пользования местного назначения от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ул.Гайдара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подъездом к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дет.саду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№4 "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Родничок"р.п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Шайгино, Тоншаевский район, Нижегородской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субсидия на реализацию мероприятий по благоустройству сельских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территорийза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счет средств федерального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субсидия на реализацию мероприятий по благоустройству сельских территорий (ремонт участка автомобильной дороги общего пользования местного назначения от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ул.Гайдара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 подъездом к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дет.саду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№4 "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Родничок"р.п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Шайгино, Тоншаевский район, Нижегородской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субсидия на реализацию мероприятий по благоустройству </w:t>
            </w: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сельских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территорийза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счет средств областного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субсидия на реализацию мероприятий по благоустройству сельских территорий (ремонт участка автомобильной дороги общего пользования местного назначения от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ул.Гайдара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подъездом к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дет.саду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№4 "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Родничок"р.п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Шайгино, Тоншаевский район, Нижегородской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0720129910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0720129910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10102S2820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10102S2820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10103S2980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проведение ремонта дворовых территорий в муниципальных образований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10103S2980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проведение ремонта дворовых территорий в муниципальных образований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10103S2980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проведение ремонта дворовых территорий в муниципальных образований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10103S2980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проведение ремонта дворовых территорий в муниципальных образований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за счет субсидии на поддержку государственных программ субъектов </w:t>
            </w: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современная городская среда федеральные средства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современная городская среда областные средства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современная городская среда федеральные средства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современная городская среда областные средства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1440428810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Устройство сетей наружного освещения по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ул.Кирова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р.п.Пижма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1440472650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Устройство сетей наружного освещения по ул. Кирова в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Пижма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1440474800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уличного освещения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р.п.Тоншаево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иных межбюджетных трансфертов на предоставление грантов на награждение победителей смотра-конкурса на звание "Лучшее муниципальное образование в сфере благоустройства и дорожной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14404S2650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Устройство сетей наружного освещения по ул. Кирова в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Пижма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2350204010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Оказание услуг (выполнение мероприятий),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</w:t>
            </w: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территориальных отделов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2350204010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услуг (выполнение мероприятий),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территориальных отделов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2350204010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услуг (выполнение мероприятий),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территориальных отделов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2350204010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услуг (выполнение мероприятий),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территориальных отделов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6600322000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из областного бюджета из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6600322000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из областного бюджета из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66003S2680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66003S2680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66003S2820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Озеленение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Озеленение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6600373930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0110122000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выплаты за счет средств фонда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0110172180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0110121000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0110172180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областного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федерального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0120242120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0120122000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выплаты за счет средств фонда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0120142310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0120142310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0120242130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0120242320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летний отдых в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0240142310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02401S4090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02401S4090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024A155190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поддержку отрасли культуры на капитальный ремонт музыкальной школы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поддержку отрасли культуры за счет средств федерального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024A155190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поддержку отрасли культуры на капитальный ремонт музыкальной школы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поддержку отрасли культуры за счет средств областного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024A155190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поддержку отрасли культуры на капитальный ремонт музыкальной школы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0120243210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0120243210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</w:t>
            </w: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1120125200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1120125200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1120125200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1210125200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1310125200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профилактика преступлений и иных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1310125200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профилактика преступлений и иных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1510125200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1510125200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1510125200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011EВ57860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обеспечение муниципальных организаций государственными символами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МБТна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обеспечение оснащения муниципальных общеобразовательных организаций государственными символами РФ за счет средств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011EВ57860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обеспечение муниципальных организаций государственными символами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МБТна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обеспечение оснащения муниципальных общеобразовательных организаций </w:t>
            </w: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государственными символами РФ за счет средств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</w:t>
            </w: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Метод.кабинет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централиз.бухгалтерия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Метод.кабинет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централиз.бухгалтерия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Метод.кабинет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централиз.бухгалтерия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Метод.кабинет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централиз.бухгалтерия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Метод.кабинет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централиз.бухгалтерия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централиз.бухгалтерия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централиз.бухгалтерия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централиз.бухгалтерия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централиз.бухгалтерия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Метод.кабинет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централиз.бухгалтерия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централиз.бухгалтерия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Метод.кабинет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централиз.бухгалтерия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ст.225 (кроме расходов на содержание помещения в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чистоте,капитальный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ремонт,текущий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ремонт)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Метод.кабинет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централиз.бухгалтерия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Метод.кабинет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централиз.бухгалтерия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Метод.кабинет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централиз.бухгалтерия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Метод.кабинет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Субвенции на осуществление полномочий по организации и осуществлению деятельности по </w:t>
            </w: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1430428810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световозвращающихся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детских нарукавных повязок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1430528810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«Пристегни ремень!», «Пешеход», «Ребенок – главный пассажир», «Засветись! Стань заметней на дороге!)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0210144210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0210244210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Комплектование 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Комплектование 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Комплектование 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федерального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Комплектование 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областного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0210544210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государственную поддержку лучших сельских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поддержку отрасли культуры за счет средств федерального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государственную поддержку лучших сельских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поддержку отрасли культуры за счет средств областного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государственную поддержку лучших сельских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0220144110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0230144010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бюджета(МЦКС)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обеспечение развития и укрепление материально-технической базы муниципальных домов культуры за счет средств федерального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обеспечение развития и укрепление материально-технической базы муниципальных домов культуры за счет средств областного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0230444010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иные цели за счет средств местного бюджета(МЦКС)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0250144110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</w:t>
            </w: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электроэнергию и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хозгруппа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хозгруппа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хозгруппа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хозгруппа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хозгруппа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хозгруппа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хозгруппа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хозгруппа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хозгруппа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хозгруппа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хозгруппа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хозгруппа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2150329020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проведение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мероприятий,направленных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поддержку семей, находящихся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2150329020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проведение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мероприятий,направленных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поддержку семей, находящихся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2150329020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проведение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мероприятий,направленных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поддержку семей, находящихся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6600322000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из областного бюджета из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6600322000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из областного бюджета из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6600351350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обеспечение ветеранов жилыми помещениями за счет средств федерального бюджета в соответствии c Федеральным Законом от 12.01.95 №5-ФЗ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6600351760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Субвенция на обеспечение жильем отдельных категорий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граждан,установленных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6600524200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социальных выплат граждан на оплату расходов, связанных со строительством индивидуального жилого дома (проценты по молодой семье).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Субсидия молодым семьям на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жилья за счет средств </w:t>
            </w: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федерального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Субсидия молодым семьям на 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жилья за счет средств областного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6600373120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ремонт жилых помещений детей сирот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66003R0820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бюджет).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66003R0820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бюджет).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обеспечение детей сирот жилыми помещениями за счет средств областного бюджета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2110129040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субсидии общественным организациям ветеранов и инвалидов, осуществляющим деятельность на территории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помещений в чистоте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11102S2610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приобретение автобуса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11102S2610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приобретение автобуса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2210125200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любительского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2210125200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любительского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1710102050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 на обеспечение деятельности СМИ на выполнение муниципального задания (цветная печать)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17201S2050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17201S2050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1202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17201S4090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МБТ на выплату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17301S2050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90C8C" w:rsidRPr="00290C8C" w:rsidTr="00290C8C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6600527000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92" w:rsidRPr="00290C8C" w:rsidRDefault="00E96A92" w:rsidP="00E96A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0C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</w:tbl>
    <w:p w:rsidR="007A2E58" w:rsidRDefault="007A2E58" w:rsidP="007A2E5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7A2E58" w:rsidSect="00C14E9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 w15:restartNumberingAfterBreak="0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8B08AF"/>
    <w:multiLevelType w:val="hybridMultilevel"/>
    <w:tmpl w:val="8C7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515FE"/>
    <w:rsid w:val="00051ECA"/>
    <w:rsid w:val="0005289C"/>
    <w:rsid w:val="00061CBC"/>
    <w:rsid w:val="00074763"/>
    <w:rsid w:val="000915EC"/>
    <w:rsid w:val="00093164"/>
    <w:rsid w:val="000A4026"/>
    <w:rsid w:val="000B7794"/>
    <w:rsid w:val="000B791C"/>
    <w:rsid w:val="000E25F6"/>
    <w:rsid w:val="000E67B6"/>
    <w:rsid w:val="000F247A"/>
    <w:rsid w:val="001341ED"/>
    <w:rsid w:val="00160C2B"/>
    <w:rsid w:val="00175201"/>
    <w:rsid w:val="00181D89"/>
    <w:rsid w:val="001823AB"/>
    <w:rsid w:val="00184835"/>
    <w:rsid w:val="001B3D26"/>
    <w:rsid w:val="001C0C16"/>
    <w:rsid w:val="001C6A2B"/>
    <w:rsid w:val="001F0BFA"/>
    <w:rsid w:val="00215963"/>
    <w:rsid w:val="00290C8C"/>
    <w:rsid w:val="002C63A6"/>
    <w:rsid w:val="002D5562"/>
    <w:rsid w:val="002F6590"/>
    <w:rsid w:val="00303CAF"/>
    <w:rsid w:val="0033150B"/>
    <w:rsid w:val="0033651D"/>
    <w:rsid w:val="00343F85"/>
    <w:rsid w:val="00392B1D"/>
    <w:rsid w:val="003F5CB7"/>
    <w:rsid w:val="0041186B"/>
    <w:rsid w:val="00455205"/>
    <w:rsid w:val="004645BE"/>
    <w:rsid w:val="00483FEA"/>
    <w:rsid w:val="004A42AD"/>
    <w:rsid w:val="004B25FC"/>
    <w:rsid w:val="004B58A2"/>
    <w:rsid w:val="00530625"/>
    <w:rsid w:val="00534159"/>
    <w:rsid w:val="00540B2F"/>
    <w:rsid w:val="00571709"/>
    <w:rsid w:val="005737F6"/>
    <w:rsid w:val="00590694"/>
    <w:rsid w:val="005B3D0B"/>
    <w:rsid w:val="005F1386"/>
    <w:rsid w:val="0062574C"/>
    <w:rsid w:val="006300D9"/>
    <w:rsid w:val="006B3174"/>
    <w:rsid w:val="006C2579"/>
    <w:rsid w:val="006C5BB8"/>
    <w:rsid w:val="006D5588"/>
    <w:rsid w:val="006F1E47"/>
    <w:rsid w:val="006F3451"/>
    <w:rsid w:val="00702370"/>
    <w:rsid w:val="00710E27"/>
    <w:rsid w:val="00733672"/>
    <w:rsid w:val="0078324E"/>
    <w:rsid w:val="007A2E58"/>
    <w:rsid w:val="007C53AE"/>
    <w:rsid w:val="007C6172"/>
    <w:rsid w:val="007E6CDE"/>
    <w:rsid w:val="007F559A"/>
    <w:rsid w:val="008149AF"/>
    <w:rsid w:val="00823F11"/>
    <w:rsid w:val="00840C5B"/>
    <w:rsid w:val="008515E0"/>
    <w:rsid w:val="00860788"/>
    <w:rsid w:val="008770AC"/>
    <w:rsid w:val="00882BAE"/>
    <w:rsid w:val="00882D52"/>
    <w:rsid w:val="00890CBB"/>
    <w:rsid w:val="008B0F5D"/>
    <w:rsid w:val="008C5447"/>
    <w:rsid w:val="00923219"/>
    <w:rsid w:val="009305AE"/>
    <w:rsid w:val="00955462"/>
    <w:rsid w:val="00961CC0"/>
    <w:rsid w:val="0096444B"/>
    <w:rsid w:val="0099180A"/>
    <w:rsid w:val="009A782A"/>
    <w:rsid w:val="009E3E0C"/>
    <w:rsid w:val="009E64ED"/>
    <w:rsid w:val="00A169AB"/>
    <w:rsid w:val="00A17D64"/>
    <w:rsid w:val="00A27FEF"/>
    <w:rsid w:val="00A41D74"/>
    <w:rsid w:val="00A76BE9"/>
    <w:rsid w:val="00A800D6"/>
    <w:rsid w:val="00AA310D"/>
    <w:rsid w:val="00AA3353"/>
    <w:rsid w:val="00AD4D2B"/>
    <w:rsid w:val="00AF0ED9"/>
    <w:rsid w:val="00B13144"/>
    <w:rsid w:val="00B23A54"/>
    <w:rsid w:val="00B276CC"/>
    <w:rsid w:val="00B64524"/>
    <w:rsid w:val="00B67C48"/>
    <w:rsid w:val="00B738CD"/>
    <w:rsid w:val="00B87E74"/>
    <w:rsid w:val="00BA06C0"/>
    <w:rsid w:val="00BB07EF"/>
    <w:rsid w:val="00BB1379"/>
    <w:rsid w:val="00BE6A30"/>
    <w:rsid w:val="00BE6D19"/>
    <w:rsid w:val="00BF56DE"/>
    <w:rsid w:val="00C07814"/>
    <w:rsid w:val="00C123CF"/>
    <w:rsid w:val="00C14E99"/>
    <w:rsid w:val="00C178E1"/>
    <w:rsid w:val="00C27E99"/>
    <w:rsid w:val="00C55FAC"/>
    <w:rsid w:val="00C93796"/>
    <w:rsid w:val="00C94300"/>
    <w:rsid w:val="00C96445"/>
    <w:rsid w:val="00CF7A66"/>
    <w:rsid w:val="00D001F6"/>
    <w:rsid w:val="00D12B7F"/>
    <w:rsid w:val="00D27F09"/>
    <w:rsid w:val="00D34472"/>
    <w:rsid w:val="00D421F7"/>
    <w:rsid w:val="00D6662B"/>
    <w:rsid w:val="00D80C46"/>
    <w:rsid w:val="00DE0252"/>
    <w:rsid w:val="00DE2FC0"/>
    <w:rsid w:val="00E308D2"/>
    <w:rsid w:val="00E31332"/>
    <w:rsid w:val="00E35532"/>
    <w:rsid w:val="00E54758"/>
    <w:rsid w:val="00E673D5"/>
    <w:rsid w:val="00E72333"/>
    <w:rsid w:val="00E731CA"/>
    <w:rsid w:val="00E7351E"/>
    <w:rsid w:val="00E81B11"/>
    <w:rsid w:val="00E906FF"/>
    <w:rsid w:val="00E96A92"/>
    <w:rsid w:val="00EF1B98"/>
    <w:rsid w:val="00F24E39"/>
    <w:rsid w:val="00F510DD"/>
    <w:rsid w:val="00F619AA"/>
    <w:rsid w:val="00F73CB1"/>
    <w:rsid w:val="00F8499A"/>
    <w:rsid w:val="00F9017B"/>
    <w:rsid w:val="00F918A5"/>
    <w:rsid w:val="00FA5981"/>
    <w:rsid w:val="00FA771E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F1B4"/>
  <w15:docId w15:val="{3F826479-97D9-4877-9D1A-09820606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uiPriority w:val="99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4E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14E99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rsid w:val="00C14E99"/>
  </w:style>
  <w:style w:type="paragraph" w:styleId="aa">
    <w:name w:val="header"/>
    <w:basedOn w:val="a"/>
    <w:link w:val="ab"/>
    <w:rsid w:val="00C14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14E99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rsid w:val="00C14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C14E99"/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C14E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C14E99"/>
  </w:style>
  <w:style w:type="paragraph" w:styleId="21">
    <w:name w:val="Body Text Indent 2"/>
    <w:basedOn w:val="a"/>
    <w:link w:val="22"/>
    <w:rsid w:val="00C14E99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4E99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C14E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14E99"/>
    <w:rPr>
      <w:rFonts w:ascii="Times New Roman" w:eastAsia="Times New Roman" w:hAnsi="Times New Roman"/>
      <w:sz w:val="16"/>
      <w:szCs w:val="16"/>
    </w:rPr>
  </w:style>
  <w:style w:type="paragraph" w:styleId="af0">
    <w:name w:val="Body Text"/>
    <w:basedOn w:val="a"/>
    <w:link w:val="af1"/>
    <w:rsid w:val="00C14E99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C14E99"/>
    <w:rPr>
      <w:rFonts w:ascii="Times New Roman" w:eastAsia="Times New Roman" w:hAnsi="Times New Roman"/>
      <w:sz w:val="28"/>
    </w:rPr>
  </w:style>
  <w:style w:type="paragraph" w:customStyle="1" w:styleId="Courier12">
    <w:name w:val="Courier12"/>
    <w:basedOn w:val="a"/>
    <w:rsid w:val="00C14E9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4">
    <w:name w:val="Основной текст (4)_"/>
    <w:link w:val="40"/>
    <w:rsid w:val="00C14E99"/>
    <w:rPr>
      <w:rFonts w:eastAsia="Arial Unicode MS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4E99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2">
    <w:name w:val="Знак Знак"/>
    <w:basedOn w:val="a"/>
    <w:rsid w:val="00C14E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C14E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3">
    <w:name w:val="Знак Знак Знак Знак Знак Знак Знак Знак Знак"/>
    <w:basedOn w:val="a"/>
    <w:rsid w:val="00C14E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3">
    <w:name w:val="Нет списка2"/>
    <w:next w:val="a2"/>
    <w:uiPriority w:val="99"/>
    <w:semiHidden/>
    <w:rsid w:val="00C14E99"/>
  </w:style>
  <w:style w:type="table" w:customStyle="1" w:styleId="12">
    <w:name w:val="Сетка таблицы1"/>
    <w:basedOn w:val="a1"/>
    <w:next w:val="ae"/>
    <w:uiPriority w:val="59"/>
    <w:rsid w:val="00C14E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C14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14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14E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13144"/>
  </w:style>
  <w:style w:type="paragraph" w:customStyle="1" w:styleId="msonormal0">
    <w:name w:val="msonormal"/>
    <w:basedOn w:val="a"/>
    <w:rsid w:val="00B13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C55FAC"/>
  </w:style>
  <w:style w:type="numbering" w:customStyle="1" w:styleId="5">
    <w:name w:val="Нет списка5"/>
    <w:next w:val="a2"/>
    <w:uiPriority w:val="99"/>
    <w:semiHidden/>
    <w:unhideWhenUsed/>
    <w:rsid w:val="007E6CDE"/>
  </w:style>
  <w:style w:type="numbering" w:customStyle="1" w:styleId="6">
    <w:name w:val="Нет списка6"/>
    <w:next w:val="a2"/>
    <w:uiPriority w:val="99"/>
    <w:semiHidden/>
    <w:unhideWhenUsed/>
    <w:rsid w:val="00F619AA"/>
  </w:style>
  <w:style w:type="numbering" w:customStyle="1" w:styleId="7">
    <w:name w:val="Нет списка7"/>
    <w:next w:val="a2"/>
    <w:uiPriority w:val="99"/>
    <w:semiHidden/>
    <w:unhideWhenUsed/>
    <w:rsid w:val="00E9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E790-7922-476B-984A-9025A674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61</Pages>
  <Words>29006</Words>
  <Characters>165338</Characters>
  <Application>Microsoft Office Word</Application>
  <DocSecurity>0</DocSecurity>
  <Lines>1377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193957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4</cp:revision>
  <cp:lastPrinted>2018-01-16T08:46:00Z</cp:lastPrinted>
  <dcterms:created xsi:type="dcterms:W3CDTF">2022-10-17T10:07:00Z</dcterms:created>
  <dcterms:modified xsi:type="dcterms:W3CDTF">2022-10-17T12:32:00Z</dcterms:modified>
</cp:coreProperties>
</file>